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7E" w:rsidRDefault="007E4E7E" w:rsidP="004303A2">
      <w:pPr>
        <w:pStyle w:val="a3"/>
        <w:tabs>
          <w:tab w:val="left" w:pos="498"/>
        </w:tabs>
        <w:jc w:val="center"/>
        <w:rPr>
          <w:rFonts w:cs="Times New Roman"/>
          <w:b/>
          <w:sz w:val="28"/>
          <w:szCs w:val="28"/>
        </w:rPr>
      </w:pPr>
      <w:r w:rsidRPr="007E4E7E">
        <w:rPr>
          <w:rFonts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-130810</wp:posOffset>
            </wp:positionV>
            <wp:extent cx="1098550" cy="952500"/>
            <wp:effectExtent l="19050" t="0" r="0" b="0"/>
            <wp:wrapThrough wrapText="bothSides">
              <wp:wrapPolygon edited="0">
                <wp:start x="-375" y="0"/>
                <wp:lineTo x="-375" y="21310"/>
                <wp:lineTo x="19852" y="21310"/>
                <wp:lineTo x="19852" y="0"/>
                <wp:lineTo x="-375" y="0"/>
              </wp:wrapPolygon>
            </wp:wrapThrough>
            <wp:docPr id="2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E7E" w:rsidRDefault="007E4E7E" w:rsidP="004303A2">
      <w:pPr>
        <w:pStyle w:val="a3"/>
        <w:tabs>
          <w:tab w:val="left" w:pos="498"/>
        </w:tabs>
        <w:jc w:val="center"/>
        <w:rPr>
          <w:rFonts w:cs="Times New Roman"/>
          <w:b/>
          <w:sz w:val="28"/>
          <w:szCs w:val="28"/>
        </w:rPr>
      </w:pPr>
    </w:p>
    <w:p w:rsidR="004303A2" w:rsidRPr="00CC3D3E" w:rsidRDefault="00F90363" w:rsidP="004303A2">
      <w:pPr>
        <w:pStyle w:val="a3"/>
        <w:tabs>
          <w:tab w:val="left" w:pos="498"/>
        </w:tabs>
        <w:jc w:val="center"/>
        <w:rPr>
          <w:rFonts w:cs="Times New Roman"/>
          <w:b/>
          <w:sz w:val="28"/>
          <w:szCs w:val="28"/>
        </w:rPr>
      </w:pPr>
      <w:r w:rsidRPr="00CC3D3E">
        <w:rPr>
          <w:rFonts w:cs="Times New Roman"/>
          <w:b/>
          <w:sz w:val="28"/>
          <w:szCs w:val="28"/>
        </w:rPr>
        <w:t>О</w:t>
      </w:r>
      <w:r w:rsidR="004303A2" w:rsidRPr="00CC3D3E">
        <w:rPr>
          <w:rFonts w:cs="Times New Roman"/>
          <w:b/>
          <w:sz w:val="28"/>
          <w:szCs w:val="28"/>
        </w:rPr>
        <w:t xml:space="preserve"> ходе реализации</w:t>
      </w:r>
      <w:r w:rsidR="00CC3D3E" w:rsidRPr="00CC3D3E">
        <w:rPr>
          <w:rFonts w:cs="Times New Roman"/>
          <w:b/>
          <w:sz w:val="28"/>
          <w:szCs w:val="28"/>
        </w:rPr>
        <w:t xml:space="preserve"> региональных проектов</w:t>
      </w:r>
      <w:r w:rsidR="004303A2" w:rsidRPr="00CC3D3E">
        <w:rPr>
          <w:rFonts w:cs="Times New Roman"/>
          <w:b/>
          <w:sz w:val="28"/>
          <w:szCs w:val="28"/>
        </w:rPr>
        <w:t xml:space="preserve"> </w:t>
      </w:r>
      <w:r w:rsidR="00CC3D3E" w:rsidRPr="00CC3D3E">
        <w:rPr>
          <w:rFonts w:cs="Times New Roman"/>
          <w:b/>
          <w:sz w:val="28"/>
          <w:szCs w:val="28"/>
        </w:rPr>
        <w:t xml:space="preserve">нацпроекта </w:t>
      </w:r>
      <w:r w:rsidR="00CC3D3E">
        <w:rPr>
          <w:rFonts w:cs="Times New Roman"/>
          <w:b/>
          <w:sz w:val="28"/>
          <w:szCs w:val="28"/>
        </w:rPr>
        <w:t>«</w:t>
      </w:r>
      <w:r w:rsidR="00CC3D3E" w:rsidRPr="00CC3D3E">
        <w:rPr>
          <w:rFonts w:cs="Times New Roman"/>
          <w:b/>
          <w:sz w:val="28"/>
          <w:szCs w:val="28"/>
        </w:rPr>
        <w:t>Культура</w:t>
      </w:r>
      <w:r w:rsidR="00CC3D3E">
        <w:rPr>
          <w:rFonts w:cs="Times New Roman"/>
          <w:b/>
          <w:sz w:val="28"/>
          <w:szCs w:val="28"/>
        </w:rPr>
        <w:t>»</w:t>
      </w:r>
    </w:p>
    <w:p w:rsidR="004303A2" w:rsidRPr="00CC3D3E" w:rsidRDefault="00F90363" w:rsidP="004303A2">
      <w:pPr>
        <w:pStyle w:val="a3"/>
        <w:tabs>
          <w:tab w:val="left" w:pos="498"/>
        </w:tabs>
        <w:jc w:val="center"/>
        <w:rPr>
          <w:rFonts w:cs="Times New Roman"/>
          <w:b/>
          <w:sz w:val="28"/>
          <w:szCs w:val="28"/>
        </w:rPr>
      </w:pPr>
      <w:r w:rsidRPr="00CC3D3E">
        <w:rPr>
          <w:rFonts w:cs="Times New Roman"/>
          <w:b/>
          <w:sz w:val="28"/>
          <w:szCs w:val="28"/>
        </w:rPr>
        <w:t>по итогам 1 полугодия 2024 года</w:t>
      </w:r>
    </w:p>
    <w:p w:rsidR="004303A2" w:rsidRPr="004303A2" w:rsidRDefault="004303A2" w:rsidP="004303A2">
      <w:pPr>
        <w:pStyle w:val="a3"/>
        <w:tabs>
          <w:tab w:val="left" w:pos="498"/>
        </w:tabs>
        <w:jc w:val="center"/>
        <w:rPr>
          <w:rFonts w:cs="Times New Roman"/>
          <w:sz w:val="28"/>
          <w:szCs w:val="28"/>
        </w:rPr>
      </w:pPr>
    </w:p>
    <w:p w:rsidR="00CC3D3E" w:rsidRDefault="004303A2" w:rsidP="0043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A2">
        <w:rPr>
          <w:rFonts w:ascii="Times New Roman" w:hAnsi="Times New Roman" w:cs="Times New Roman"/>
          <w:sz w:val="28"/>
          <w:szCs w:val="28"/>
        </w:rPr>
        <w:tab/>
      </w:r>
      <w:r w:rsidR="00CC3D3E" w:rsidRPr="00CC3D3E">
        <w:rPr>
          <w:rFonts w:ascii="Times New Roman" w:hAnsi="Times New Roman" w:cs="Times New Roman"/>
          <w:b/>
          <w:sz w:val="28"/>
          <w:szCs w:val="28"/>
        </w:rPr>
        <w:t>«Обеспечение качественно нового уровня развития инфраструктуры культуры» («Культурная среда»)</w:t>
      </w:r>
      <w:r w:rsidR="00CC3D3E">
        <w:rPr>
          <w:rFonts w:ascii="Times New Roman" w:hAnsi="Times New Roman" w:cs="Times New Roman"/>
          <w:b/>
          <w:sz w:val="28"/>
          <w:szCs w:val="28"/>
        </w:rPr>
        <w:t>:</w:t>
      </w:r>
    </w:p>
    <w:p w:rsidR="006366F8" w:rsidRDefault="004303A2" w:rsidP="0043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871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71F9">
        <w:rPr>
          <w:rFonts w:ascii="Times New Roman" w:hAnsi="Times New Roman" w:cs="Times New Roman"/>
          <w:sz w:val="28"/>
          <w:szCs w:val="28"/>
        </w:rPr>
        <w:t>заключено соглашение</w:t>
      </w:r>
      <w:r w:rsidRPr="001871F9">
        <w:rPr>
          <w:rFonts w:ascii="Times New Roman" w:hAnsi="Times New Roman" w:cs="Times New Roman"/>
          <w:sz w:val="27"/>
          <w:szCs w:val="27"/>
        </w:rPr>
        <w:t xml:space="preserve"> </w:t>
      </w:r>
      <w:r w:rsidRPr="001871F9">
        <w:rPr>
          <w:rFonts w:ascii="Times New Roman" w:hAnsi="Times New Roman" w:cs="Times New Roman"/>
          <w:sz w:val="24"/>
          <w:szCs w:val="24"/>
        </w:rPr>
        <w:t>(от 19 февраля 2024г. № 80624000-1-2024-012)</w:t>
      </w:r>
      <w:r w:rsidRPr="001871F9">
        <w:rPr>
          <w:rFonts w:ascii="Times New Roman" w:hAnsi="Times New Roman" w:cs="Times New Roman"/>
          <w:sz w:val="27"/>
          <w:szCs w:val="27"/>
        </w:rPr>
        <w:t xml:space="preserve"> </w:t>
      </w:r>
      <w:r w:rsidRPr="001871F9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Республики Башкортостан бюджету муниципального района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оснащение образовательного учреждения в сфере культуры (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Исмаиловская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детская школа искусств) музыкальными инструментами, оборудованием и учебными материалами.</w:t>
      </w:r>
      <w:r w:rsidR="006366F8" w:rsidRPr="006366F8">
        <w:rPr>
          <w:rFonts w:ascii="Times New Roman" w:hAnsi="Times New Roman" w:cs="Times New Roman"/>
          <w:sz w:val="28"/>
          <w:szCs w:val="28"/>
        </w:rPr>
        <w:t xml:space="preserve"> </w:t>
      </w:r>
      <w:r w:rsidR="006366F8" w:rsidRPr="001871F9">
        <w:rPr>
          <w:rFonts w:ascii="Times New Roman" w:hAnsi="Times New Roman" w:cs="Times New Roman"/>
          <w:sz w:val="28"/>
          <w:szCs w:val="28"/>
        </w:rPr>
        <w:t>Объем предусмотренного финансового обеспечения составляет 4 441 241,37 руб.</w:t>
      </w:r>
      <w:r w:rsidR="006366F8" w:rsidRPr="00430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6F8" w:rsidRPr="006366F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6366F8" w:rsidRPr="0063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выделенных средств заключены  договора.</w:t>
      </w:r>
      <w:r w:rsidR="006366F8">
        <w:rPr>
          <w:rFonts w:ascii="Times New Roman" w:hAnsi="Times New Roman" w:cs="Times New Roman"/>
          <w:sz w:val="28"/>
          <w:szCs w:val="28"/>
        </w:rPr>
        <w:t xml:space="preserve"> </w:t>
      </w:r>
      <w:r w:rsidRPr="001871F9">
        <w:rPr>
          <w:rFonts w:ascii="Times New Roman" w:hAnsi="Times New Roman" w:cs="Times New Roman"/>
          <w:sz w:val="28"/>
          <w:szCs w:val="28"/>
        </w:rPr>
        <w:t xml:space="preserve"> </w:t>
      </w:r>
      <w:r w:rsidR="00C755BB" w:rsidRPr="00C755BB">
        <w:rPr>
          <w:rFonts w:ascii="Times New Roman" w:hAnsi="Times New Roman" w:cs="Times New Roman"/>
          <w:sz w:val="28"/>
          <w:szCs w:val="28"/>
        </w:rPr>
        <w:t>Работы по оснащению</w:t>
      </w:r>
      <w:r w:rsidR="00872D33" w:rsidRPr="00C755BB">
        <w:rPr>
          <w:rFonts w:ascii="Times New Roman" w:hAnsi="Times New Roman" w:cs="Times New Roman"/>
          <w:sz w:val="28"/>
          <w:szCs w:val="28"/>
        </w:rPr>
        <w:t xml:space="preserve"> </w:t>
      </w:r>
      <w:r w:rsidR="00C755BB" w:rsidRPr="00C755B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72D33" w:rsidRPr="00C755BB">
        <w:rPr>
          <w:rFonts w:ascii="Times New Roman" w:hAnsi="Times New Roman" w:cs="Times New Roman"/>
          <w:sz w:val="28"/>
          <w:szCs w:val="28"/>
        </w:rPr>
        <w:t>на стадии завершения.</w:t>
      </w:r>
    </w:p>
    <w:p w:rsidR="004303A2" w:rsidRPr="004303A2" w:rsidRDefault="004303A2" w:rsidP="0043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03A2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1871F9">
        <w:rPr>
          <w:rFonts w:ascii="Times New Roman" w:hAnsi="Times New Roman" w:cs="Times New Roman"/>
          <w:sz w:val="28"/>
          <w:szCs w:val="28"/>
        </w:rPr>
        <w:t xml:space="preserve">-заключено соглашение </w:t>
      </w:r>
      <w:r w:rsidR="00930566">
        <w:rPr>
          <w:rFonts w:ascii="Times New Roman" w:hAnsi="Times New Roman" w:cs="Times New Roman"/>
          <w:sz w:val="24"/>
          <w:szCs w:val="24"/>
        </w:rPr>
        <w:t>(от 14.03.2024 №</w:t>
      </w:r>
      <w:r w:rsidRPr="001871F9">
        <w:rPr>
          <w:rFonts w:ascii="Times New Roman" w:hAnsi="Times New Roman" w:cs="Times New Roman"/>
          <w:sz w:val="24"/>
          <w:szCs w:val="24"/>
        </w:rPr>
        <w:t>80624000-1-2024-001)</w:t>
      </w:r>
      <w:r w:rsidRPr="001871F9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</w:t>
      </w:r>
      <w:r w:rsidR="0022122C">
        <w:rPr>
          <w:rFonts w:ascii="Times New Roman" w:hAnsi="Times New Roman" w:cs="Times New Roman"/>
          <w:sz w:val="28"/>
          <w:szCs w:val="28"/>
        </w:rPr>
        <w:t xml:space="preserve">итие сети учреждений </w:t>
      </w:r>
      <w:proofErr w:type="spellStart"/>
      <w:r w:rsidR="0022122C">
        <w:rPr>
          <w:rFonts w:ascii="Times New Roman" w:hAnsi="Times New Roman" w:cs="Times New Roman"/>
          <w:sz w:val="28"/>
          <w:szCs w:val="28"/>
        </w:rPr>
        <w:t>культурно-</w:t>
      </w:r>
      <w:r w:rsidRPr="001871F9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типа (строительство модульного сельского дома культуры в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д.Турбек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) из бюджета Республики Башкортостан,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софинансируемый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из федерального бюджета, бюджету муниципального района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Объем предусмотренного финансового обеспечения составляет 43 840 257,53 руб.</w:t>
      </w:r>
      <w:r w:rsidR="00930566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</w:t>
      </w:r>
      <w:r w:rsidR="00343935">
        <w:rPr>
          <w:rFonts w:ascii="Times New Roman" w:hAnsi="Times New Roman" w:cs="Times New Roman"/>
          <w:sz w:val="28"/>
          <w:szCs w:val="28"/>
        </w:rPr>
        <w:t xml:space="preserve">на проведение  строительно-монтажных работ </w:t>
      </w:r>
      <w:r w:rsidR="00930566">
        <w:rPr>
          <w:rFonts w:ascii="Times New Roman" w:hAnsi="Times New Roman" w:cs="Times New Roman"/>
          <w:sz w:val="28"/>
          <w:szCs w:val="28"/>
        </w:rPr>
        <w:t>с ООО "</w:t>
      </w:r>
      <w:proofErr w:type="spellStart"/>
      <w:r w:rsidR="00930566">
        <w:rPr>
          <w:rFonts w:ascii="Times New Roman" w:hAnsi="Times New Roman" w:cs="Times New Roman"/>
          <w:sz w:val="28"/>
          <w:szCs w:val="28"/>
        </w:rPr>
        <w:t>РефСтройПроект</w:t>
      </w:r>
      <w:proofErr w:type="spellEnd"/>
      <w:r w:rsidR="00930566">
        <w:rPr>
          <w:rFonts w:ascii="Times New Roman" w:hAnsi="Times New Roman" w:cs="Times New Roman"/>
          <w:sz w:val="28"/>
          <w:szCs w:val="28"/>
        </w:rPr>
        <w:t xml:space="preserve">" </w:t>
      </w:r>
      <w:r w:rsidR="00930566" w:rsidRPr="00930566">
        <w:rPr>
          <w:rFonts w:ascii="Times New Roman" w:hAnsi="Times New Roman" w:cs="Times New Roman"/>
          <w:sz w:val="24"/>
          <w:szCs w:val="24"/>
        </w:rPr>
        <w:t xml:space="preserve">(от 16.04.2024 </w:t>
      </w:r>
      <w:r w:rsidR="00930566">
        <w:rPr>
          <w:rFonts w:ascii="Times New Roman" w:hAnsi="Times New Roman" w:cs="Times New Roman"/>
          <w:sz w:val="24"/>
          <w:szCs w:val="24"/>
        </w:rPr>
        <w:t>№</w:t>
      </w:r>
      <w:r w:rsidR="00930566" w:rsidRPr="00930566">
        <w:rPr>
          <w:rFonts w:ascii="Times New Roman" w:hAnsi="Times New Roman" w:cs="Times New Roman"/>
          <w:sz w:val="24"/>
          <w:szCs w:val="24"/>
        </w:rPr>
        <w:t>30801300013924000028-670107-6649)</w:t>
      </w:r>
      <w:r w:rsidR="00930566">
        <w:t>.</w:t>
      </w:r>
      <w:r w:rsidR="00872D33" w:rsidRPr="00872D33">
        <w:t xml:space="preserve"> </w:t>
      </w:r>
      <w:r w:rsidR="00872D33" w:rsidRPr="00872D33">
        <w:rPr>
          <w:rFonts w:ascii="Times New Roman" w:hAnsi="Times New Roman" w:cs="Times New Roman"/>
          <w:sz w:val="28"/>
          <w:szCs w:val="28"/>
        </w:rPr>
        <w:t>На объекте</w:t>
      </w:r>
      <w:r w:rsidR="00872D33">
        <w:t xml:space="preserve"> </w:t>
      </w:r>
      <w:r w:rsidR="00872D33">
        <w:rPr>
          <w:rFonts w:ascii="Times New Roman" w:hAnsi="Times New Roman" w:cs="Times New Roman"/>
          <w:sz w:val="28"/>
          <w:szCs w:val="28"/>
        </w:rPr>
        <w:t>з</w:t>
      </w:r>
      <w:r w:rsidR="00872D33" w:rsidRPr="00872D33">
        <w:rPr>
          <w:rFonts w:ascii="Times New Roman" w:hAnsi="Times New Roman" w:cs="Times New Roman"/>
          <w:sz w:val="28"/>
          <w:szCs w:val="28"/>
        </w:rPr>
        <w:t xml:space="preserve">авершено устройство фундамента. Ведутся работы по бетонированию пола.    </w:t>
      </w:r>
      <w:r w:rsidRPr="00430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0363" w:rsidRDefault="00CC3D3E" w:rsidP="00CC3D3E">
      <w:pPr>
        <w:pStyle w:val="a3"/>
        <w:tabs>
          <w:tab w:val="left" w:pos="498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4303A2" w:rsidRPr="00CC3D3E">
        <w:rPr>
          <w:rFonts w:cs="Times New Roman"/>
          <w:b/>
          <w:sz w:val="28"/>
          <w:szCs w:val="28"/>
        </w:rPr>
        <w:t>«Создание условий для реализации творческого потенциала нации» («Творческие люди»)</w:t>
      </w:r>
      <w:r>
        <w:rPr>
          <w:rFonts w:cs="Times New Roman"/>
          <w:b/>
          <w:sz w:val="28"/>
          <w:szCs w:val="28"/>
        </w:rPr>
        <w:t xml:space="preserve">: </w:t>
      </w:r>
    </w:p>
    <w:p w:rsidR="004303A2" w:rsidRPr="001871F9" w:rsidRDefault="004303A2" w:rsidP="00E9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871F9">
        <w:rPr>
          <w:rFonts w:ascii="Times New Roman" w:hAnsi="Times New Roman" w:cs="Times New Roman"/>
          <w:sz w:val="28"/>
          <w:szCs w:val="28"/>
        </w:rPr>
        <w:t>-</w:t>
      </w:r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принято  участие  в  конкурсе  на  поддержку лучших  работников сельских учреждений культуры. Государственную поддержку получили </w:t>
      </w:r>
      <w:proofErr w:type="spellStart"/>
      <w:r w:rsidRPr="001871F9">
        <w:rPr>
          <w:rFonts w:ascii="Times New Roman" w:eastAsia="Times New Roman" w:hAnsi="Times New Roman" w:cs="Times New Roman"/>
          <w:sz w:val="28"/>
          <w:szCs w:val="28"/>
        </w:rPr>
        <w:t>культорганизаторы</w:t>
      </w:r>
      <w:proofErr w:type="spellEnd"/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  сельских клубов </w:t>
      </w:r>
      <w:proofErr w:type="spellStart"/>
      <w:r w:rsidRPr="001871F9">
        <w:rPr>
          <w:rFonts w:ascii="Times New Roman" w:eastAsia="Times New Roman" w:hAnsi="Times New Roman" w:cs="Times New Roman"/>
          <w:sz w:val="28"/>
          <w:szCs w:val="28"/>
        </w:rPr>
        <w:t>с.Кушулево</w:t>
      </w:r>
      <w:proofErr w:type="spellEnd"/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71F9">
        <w:rPr>
          <w:rFonts w:ascii="Times New Roman" w:eastAsia="Times New Roman" w:hAnsi="Times New Roman" w:cs="Times New Roman"/>
          <w:sz w:val="28"/>
          <w:szCs w:val="28"/>
        </w:rPr>
        <w:t>д.Сикаликуль</w:t>
      </w:r>
      <w:proofErr w:type="spellEnd"/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</w:t>
      </w:r>
      <w:proofErr w:type="spellStart"/>
      <w:r w:rsidRPr="001871F9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 центр муниципального района </w:t>
      </w:r>
      <w:proofErr w:type="spellStart"/>
      <w:r w:rsidRPr="001871F9">
        <w:rPr>
          <w:rFonts w:ascii="Times New Roman" w:eastAsia="Times New Roman" w:hAnsi="Times New Roman" w:cs="Times New Roman"/>
          <w:sz w:val="28"/>
          <w:szCs w:val="28"/>
        </w:rPr>
        <w:t>Дюртюлинский</w:t>
      </w:r>
      <w:proofErr w:type="spellEnd"/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1871F9">
        <w:rPr>
          <w:rFonts w:ascii="Times New Roman" w:hAnsi="Times New Roman" w:cs="Times New Roman"/>
          <w:sz w:val="28"/>
          <w:szCs w:val="28"/>
        </w:rPr>
        <w:t xml:space="preserve">. </w:t>
      </w:r>
      <w:r w:rsidRPr="001871F9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 выделено 100 000,00 руб., из республиканского  2042,10 руб.; </w:t>
      </w:r>
    </w:p>
    <w:p w:rsidR="004303A2" w:rsidRPr="001871F9" w:rsidRDefault="004303A2" w:rsidP="00E94C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1F9">
        <w:rPr>
          <w:rFonts w:ascii="Times New Roman" w:eastAsia="Times New Roman" w:hAnsi="Times New Roman" w:cs="Times New Roman"/>
          <w:sz w:val="28"/>
          <w:szCs w:val="28"/>
        </w:rPr>
        <w:tab/>
        <w:t xml:space="preserve">-подготовлены мониторинги потребности специалистов в отрасли, а также потребность в повышении квалификации; </w:t>
      </w:r>
    </w:p>
    <w:p w:rsidR="00F90363" w:rsidRDefault="00DF055E" w:rsidP="00F9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303A2" w:rsidRPr="00DF055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066E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C3AEE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прошли </w:t>
      </w:r>
      <w:r w:rsidRPr="00DC3AE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C3AE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базе</w:t>
      </w:r>
      <w:r w:rsidRPr="00DC3AEE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C3AEE">
        <w:rPr>
          <w:rFonts w:ascii="Times New Roman" w:eastAsia="Times New Roman" w:hAnsi="Times New Roman" w:cs="Times New Roman"/>
          <w:sz w:val="28"/>
          <w:szCs w:val="28"/>
        </w:rPr>
        <w:t xml:space="preserve">Пермского государственного института культуры, </w:t>
      </w:r>
      <w:r w:rsidRPr="00DC3AEE">
        <w:rPr>
          <w:rFonts w:ascii="Times New Roman" w:hAnsi="Times New Roman" w:cs="Times New Roman"/>
          <w:sz w:val="28"/>
          <w:szCs w:val="28"/>
        </w:rPr>
        <w:t xml:space="preserve">Саратовской государственной консерватории им. Л.В. Собинова, Московского государственного института культуры, Российской академии музыки имени </w:t>
      </w:r>
      <w:proofErr w:type="spellStart"/>
      <w:r w:rsidRPr="00DC3AEE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DC3AEE">
        <w:rPr>
          <w:rFonts w:ascii="Times New Roman" w:hAnsi="Times New Roman" w:cs="Times New Roman"/>
          <w:sz w:val="28"/>
          <w:szCs w:val="28"/>
        </w:rPr>
        <w:t>, Кемеровского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DC3AE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AE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C3AEE">
        <w:rPr>
          <w:rFonts w:ascii="Times New Roman" w:eastAsia="Times New Roman" w:hAnsi="Times New Roman" w:cs="Times New Roman"/>
          <w:sz w:val="28"/>
          <w:szCs w:val="28"/>
        </w:rPr>
        <w:t xml:space="preserve">. В числе образовательных программ: </w:t>
      </w:r>
      <w:r w:rsidRPr="00DC3AEE">
        <w:rPr>
          <w:rFonts w:ascii="Times New Roman" w:hAnsi="Times New Roman" w:cs="Times New Roman"/>
          <w:sz w:val="28"/>
          <w:szCs w:val="28"/>
        </w:rPr>
        <w:t>«Театральная педагогика, современные технологии актерского мастерства», «Документационное обеспечение управленческой деятельности в учреждениях культуры: практикум»,  «Работа библиотек в удаленном (дистанционном) режиме: направление, формы, особенности», «Разработка и реализация театрализованных представлений, праздников и программ для молодежи», «Мастерство ведущего концертных программ и других публичных мероприятий», «Дома народного творчества, дома культуры, как центры сохранения традиций и фольклорного искусства»,</w:t>
      </w:r>
      <w:r w:rsidRPr="00DC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«Современные образовательные технологии и методики обучения </w:t>
      </w:r>
      <w:r w:rsidRPr="00DC3A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игре на народных инструментах (баян, аккордеон)»</w:t>
      </w:r>
      <w:r w:rsidRPr="00DC3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3AEE">
        <w:rPr>
          <w:rFonts w:ascii="Times New Roman" w:hAnsi="Times New Roman" w:cs="Times New Roman"/>
          <w:sz w:val="28"/>
          <w:szCs w:val="28"/>
        </w:rPr>
        <w:t>(всего с нарастающим итогом 1</w:t>
      </w:r>
      <w:r w:rsidR="008066E1">
        <w:rPr>
          <w:rFonts w:ascii="Times New Roman" w:hAnsi="Times New Roman" w:cs="Times New Roman"/>
          <w:sz w:val="28"/>
          <w:szCs w:val="28"/>
        </w:rPr>
        <w:t>07</w:t>
      </w:r>
      <w:r w:rsidR="00343935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CA3F56">
        <w:rPr>
          <w:rFonts w:ascii="Times New Roman" w:hAnsi="Times New Roman" w:cs="Times New Roman"/>
          <w:sz w:val="28"/>
          <w:szCs w:val="28"/>
        </w:rPr>
        <w:t xml:space="preserve"> прошли обучение).</w:t>
      </w:r>
    </w:p>
    <w:p w:rsidR="004303A2" w:rsidRPr="00E94C30" w:rsidRDefault="004303A2" w:rsidP="00F9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94C30">
        <w:rPr>
          <w:rFonts w:ascii="Times New Roman" w:hAnsi="Times New Roman" w:cs="Times New Roman"/>
          <w:sz w:val="28"/>
          <w:szCs w:val="28"/>
        </w:rPr>
        <w:t xml:space="preserve">-количество граждан, принимающих участие в </w:t>
      </w:r>
      <w:r w:rsidR="00DF055E" w:rsidRPr="00E94C30">
        <w:rPr>
          <w:rFonts w:ascii="Times New Roman" w:hAnsi="Times New Roman" w:cs="Times New Roman"/>
          <w:sz w:val="28"/>
          <w:szCs w:val="28"/>
        </w:rPr>
        <w:t>добровольческой деятельности - 4  ( с нарастающим итогом 49</w:t>
      </w:r>
      <w:r w:rsidRPr="00E94C30">
        <w:rPr>
          <w:rFonts w:ascii="Times New Roman" w:hAnsi="Times New Roman" w:cs="Times New Roman"/>
          <w:sz w:val="28"/>
          <w:szCs w:val="28"/>
        </w:rPr>
        <w:t>).</w:t>
      </w:r>
    </w:p>
    <w:p w:rsidR="004303A2" w:rsidRPr="00CC3D3E" w:rsidRDefault="004303A2" w:rsidP="00CC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CC3D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3D3E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CC3D3E">
        <w:rPr>
          <w:rFonts w:ascii="Times New Roman" w:hAnsi="Times New Roman" w:cs="Times New Roman"/>
          <w:b/>
          <w:sz w:val="28"/>
          <w:szCs w:val="28"/>
        </w:rPr>
        <w:t xml:space="preserve"> услуг и </w:t>
      </w:r>
      <w:r w:rsidR="00CC3D3E" w:rsidRPr="00CC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D3E">
        <w:rPr>
          <w:rFonts w:ascii="Times New Roman" w:hAnsi="Times New Roman" w:cs="Times New Roman"/>
          <w:b/>
          <w:sz w:val="28"/>
          <w:szCs w:val="28"/>
        </w:rPr>
        <w:t xml:space="preserve">формирование информационного пространства в сфере культуры» </w:t>
      </w:r>
      <w:r w:rsidR="00CC3D3E" w:rsidRPr="00CC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D3E">
        <w:rPr>
          <w:rFonts w:ascii="Times New Roman" w:hAnsi="Times New Roman" w:cs="Times New Roman"/>
          <w:b/>
          <w:sz w:val="28"/>
          <w:szCs w:val="28"/>
        </w:rPr>
        <w:t>(«Цифровая культура»)</w:t>
      </w:r>
      <w:r w:rsidR="00CC3D3E" w:rsidRPr="00CC3D3E">
        <w:rPr>
          <w:rFonts w:ascii="Times New Roman" w:hAnsi="Times New Roman" w:cs="Times New Roman"/>
          <w:b/>
          <w:sz w:val="28"/>
          <w:szCs w:val="28"/>
        </w:rPr>
        <w:t>:</w:t>
      </w:r>
      <w:r w:rsidRPr="00CC3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3A2" w:rsidRPr="001871F9" w:rsidRDefault="004303A2" w:rsidP="00343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1F9">
        <w:rPr>
          <w:rFonts w:ascii="Times New Roman" w:hAnsi="Times New Roman" w:cs="Times New Roman"/>
          <w:sz w:val="28"/>
          <w:szCs w:val="28"/>
        </w:rPr>
        <w:t xml:space="preserve">-заключено соглашение </w:t>
      </w:r>
      <w:r w:rsidRPr="001871F9">
        <w:rPr>
          <w:rFonts w:ascii="Times New Roman" w:hAnsi="Times New Roman" w:cs="Times New Roman"/>
          <w:sz w:val="24"/>
          <w:szCs w:val="24"/>
        </w:rPr>
        <w:t>(от 12 февраля 2024г. №80624000-1-2024-008)</w:t>
      </w:r>
      <w:r w:rsidRPr="001871F9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бюджета Республики Башкортостан бюджету муниципального района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создание виртуального концертного зала (на базе Центральной </w:t>
      </w:r>
      <w:proofErr w:type="spellStart"/>
      <w:r w:rsidRPr="001871F9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1871F9">
        <w:rPr>
          <w:rFonts w:ascii="Times New Roman" w:hAnsi="Times New Roman" w:cs="Times New Roman"/>
          <w:sz w:val="28"/>
          <w:szCs w:val="28"/>
        </w:rPr>
        <w:t xml:space="preserve"> библиотеки). Объем предусмотренного финансового обеспечения составляет 618 441,56 руб.</w:t>
      </w:r>
      <w:r w:rsidR="00E94C30">
        <w:rPr>
          <w:rFonts w:ascii="Times New Roman" w:hAnsi="Times New Roman" w:cs="Times New Roman"/>
          <w:sz w:val="28"/>
          <w:szCs w:val="28"/>
        </w:rPr>
        <w:t xml:space="preserve"> </w:t>
      </w:r>
      <w:r w:rsidR="00343935" w:rsidRPr="00343935">
        <w:rPr>
          <w:rFonts w:ascii="Times New Roman" w:hAnsi="Times New Roman" w:cs="Times New Roman"/>
          <w:sz w:val="28"/>
          <w:szCs w:val="28"/>
        </w:rPr>
        <w:t>Заклю</w:t>
      </w:r>
      <w:r w:rsidR="00343935">
        <w:rPr>
          <w:rFonts w:ascii="Times New Roman" w:hAnsi="Times New Roman" w:cs="Times New Roman"/>
          <w:sz w:val="28"/>
          <w:szCs w:val="28"/>
        </w:rPr>
        <w:t>чены договора</w:t>
      </w:r>
      <w:r w:rsidR="005F6D43">
        <w:rPr>
          <w:rFonts w:ascii="Times New Roman" w:hAnsi="Times New Roman" w:cs="Times New Roman"/>
          <w:sz w:val="28"/>
          <w:szCs w:val="28"/>
        </w:rPr>
        <w:t xml:space="preserve"> от 25.04.2024</w:t>
      </w:r>
      <w:r w:rsidR="00343935">
        <w:rPr>
          <w:rFonts w:ascii="Times New Roman" w:hAnsi="Times New Roman" w:cs="Times New Roman"/>
          <w:sz w:val="28"/>
          <w:szCs w:val="28"/>
        </w:rPr>
        <w:t xml:space="preserve"> с ООО "</w:t>
      </w:r>
      <w:proofErr w:type="spellStart"/>
      <w:r w:rsidR="00343935">
        <w:rPr>
          <w:rFonts w:ascii="Times New Roman" w:hAnsi="Times New Roman" w:cs="Times New Roman"/>
          <w:sz w:val="28"/>
          <w:szCs w:val="28"/>
        </w:rPr>
        <w:t>Миллениум-П</w:t>
      </w:r>
      <w:r w:rsidR="00343935" w:rsidRPr="00343935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="00343935" w:rsidRPr="00343935">
        <w:rPr>
          <w:rFonts w:ascii="Times New Roman" w:hAnsi="Times New Roman" w:cs="Times New Roman"/>
          <w:sz w:val="28"/>
          <w:szCs w:val="28"/>
        </w:rPr>
        <w:t>" на приобретение оборудования</w:t>
      </w:r>
      <w:r w:rsidR="00343935">
        <w:rPr>
          <w:rFonts w:ascii="Times New Roman" w:hAnsi="Times New Roman" w:cs="Times New Roman"/>
          <w:sz w:val="28"/>
          <w:szCs w:val="28"/>
        </w:rPr>
        <w:t xml:space="preserve">. </w:t>
      </w:r>
      <w:r w:rsidR="00343935" w:rsidRPr="00343935">
        <w:rPr>
          <w:rFonts w:ascii="Times New Roman" w:hAnsi="Times New Roman" w:cs="Times New Roman"/>
          <w:sz w:val="28"/>
          <w:szCs w:val="28"/>
        </w:rPr>
        <w:t xml:space="preserve">Договора исполнены в полном объеме. </w:t>
      </w:r>
      <w:r w:rsidR="00E94C30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E94C30" w:rsidRPr="001871F9">
        <w:rPr>
          <w:rFonts w:ascii="Times New Roman" w:hAnsi="Times New Roman" w:cs="Times New Roman"/>
          <w:sz w:val="28"/>
          <w:szCs w:val="28"/>
        </w:rPr>
        <w:t xml:space="preserve">виртуального концертного зала </w:t>
      </w:r>
      <w:r w:rsidR="00E94C30">
        <w:rPr>
          <w:rFonts w:ascii="Times New Roman" w:hAnsi="Times New Roman" w:cs="Times New Roman"/>
          <w:sz w:val="28"/>
          <w:szCs w:val="28"/>
        </w:rPr>
        <w:t>запланировано на октябрь месяц 2024года.</w:t>
      </w:r>
    </w:p>
    <w:p w:rsidR="004303A2" w:rsidRPr="004303A2" w:rsidRDefault="004303A2" w:rsidP="00F90363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4303A2">
        <w:rPr>
          <w:color w:val="FF0000"/>
          <w:sz w:val="28"/>
          <w:szCs w:val="28"/>
        </w:rPr>
        <w:tab/>
      </w:r>
      <w:r w:rsidR="001D1D54" w:rsidRPr="00860B54">
        <w:rPr>
          <w:b w:val="0"/>
          <w:sz w:val="28"/>
          <w:szCs w:val="28"/>
        </w:rPr>
        <w:t xml:space="preserve">- </w:t>
      </w:r>
      <w:r w:rsidR="001D1D54" w:rsidRPr="006A020B">
        <w:rPr>
          <w:b w:val="0"/>
          <w:sz w:val="28"/>
          <w:szCs w:val="28"/>
        </w:rPr>
        <w:t xml:space="preserve">количество </w:t>
      </w:r>
      <w:proofErr w:type="spellStart"/>
      <w:r w:rsidR="001D1D54" w:rsidRPr="006A020B">
        <w:rPr>
          <w:b w:val="0"/>
          <w:sz w:val="28"/>
          <w:szCs w:val="28"/>
        </w:rPr>
        <w:t>онлайн-трансляций</w:t>
      </w:r>
      <w:proofErr w:type="spellEnd"/>
      <w:r w:rsidR="001D1D54" w:rsidRPr="006A020B">
        <w:rPr>
          <w:b w:val="0"/>
          <w:sz w:val="28"/>
          <w:szCs w:val="28"/>
        </w:rPr>
        <w:t>, размещаем</w:t>
      </w:r>
      <w:r w:rsidR="001D1D54">
        <w:rPr>
          <w:b w:val="0"/>
          <w:sz w:val="28"/>
          <w:szCs w:val="28"/>
        </w:rPr>
        <w:t>ых на портале "</w:t>
      </w:r>
      <w:proofErr w:type="spellStart"/>
      <w:r w:rsidR="001D1D54">
        <w:rPr>
          <w:b w:val="0"/>
          <w:sz w:val="28"/>
          <w:szCs w:val="28"/>
        </w:rPr>
        <w:t>Культура.РФ</w:t>
      </w:r>
      <w:proofErr w:type="spellEnd"/>
      <w:r w:rsidR="001D1D54">
        <w:rPr>
          <w:b w:val="0"/>
          <w:sz w:val="28"/>
          <w:szCs w:val="28"/>
        </w:rPr>
        <w:t>" - 64 (187</w:t>
      </w:r>
      <w:r w:rsidR="001D1D54" w:rsidRPr="006A020B">
        <w:rPr>
          <w:b w:val="0"/>
          <w:sz w:val="28"/>
          <w:szCs w:val="28"/>
        </w:rPr>
        <w:t xml:space="preserve"> с нарастающим итогом</w:t>
      </w:r>
      <w:r w:rsidR="001D1D54" w:rsidRPr="006A020B">
        <w:rPr>
          <w:sz w:val="28"/>
          <w:szCs w:val="28"/>
        </w:rPr>
        <w:t>)</w:t>
      </w:r>
      <w:r w:rsidR="00F90363">
        <w:rPr>
          <w:sz w:val="28"/>
          <w:szCs w:val="28"/>
        </w:rPr>
        <w:t>.</w:t>
      </w: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3A2" w:rsidRPr="004303A2" w:rsidRDefault="004303A2" w:rsidP="004303A2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03A2" w:rsidRPr="004303A2" w:rsidRDefault="004303A2" w:rsidP="004303A2">
      <w:pPr>
        <w:pStyle w:val="aa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303A2" w:rsidRPr="004303A2" w:rsidRDefault="004303A2" w:rsidP="004303A2">
      <w:pPr>
        <w:pStyle w:val="aa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303A2">
        <w:rPr>
          <w:color w:val="FF0000"/>
          <w:sz w:val="28"/>
          <w:szCs w:val="28"/>
        </w:rPr>
        <w:t xml:space="preserve"> </w:t>
      </w:r>
    </w:p>
    <w:p w:rsidR="004303A2" w:rsidRPr="004303A2" w:rsidRDefault="004303A2" w:rsidP="004303A2">
      <w:pPr>
        <w:spacing w:after="0" w:line="240" w:lineRule="auto"/>
        <w:rPr>
          <w:color w:val="FF0000"/>
          <w:sz w:val="28"/>
          <w:szCs w:val="28"/>
        </w:rPr>
      </w:pPr>
    </w:p>
    <w:p w:rsidR="00B900C3" w:rsidRPr="004303A2" w:rsidRDefault="00B900C3">
      <w:pPr>
        <w:rPr>
          <w:color w:val="FF0000"/>
        </w:rPr>
      </w:pPr>
    </w:p>
    <w:sectPr w:rsidR="00B900C3" w:rsidRPr="004303A2" w:rsidSect="00343935">
      <w:pgSz w:w="11906" w:h="16838"/>
      <w:pgMar w:top="426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>
    <w:useFELayout/>
  </w:compat>
  <w:rsids>
    <w:rsidRoot w:val="004303A2"/>
    <w:rsid w:val="000B3711"/>
    <w:rsid w:val="001871F9"/>
    <w:rsid w:val="001C18EB"/>
    <w:rsid w:val="001D1D54"/>
    <w:rsid w:val="0022122C"/>
    <w:rsid w:val="003066C0"/>
    <w:rsid w:val="00335041"/>
    <w:rsid w:val="00343935"/>
    <w:rsid w:val="003B2477"/>
    <w:rsid w:val="004303A2"/>
    <w:rsid w:val="00516C5F"/>
    <w:rsid w:val="005F6D43"/>
    <w:rsid w:val="006366F8"/>
    <w:rsid w:val="006A69AF"/>
    <w:rsid w:val="007E4E7E"/>
    <w:rsid w:val="008066E1"/>
    <w:rsid w:val="0083380D"/>
    <w:rsid w:val="00872D33"/>
    <w:rsid w:val="00930566"/>
    <w:rsid w:val="00B900C3"/>
    <w:rsid w:val="00BD2E9B"/>
    <w:rsid w:val="00C755BB"/>
    <w:rsid w:val="00CA3F56"/>
    <w:rsid w:val="00CC3D3E"/>
    <w:rsid w:val="00D76D8B"/>
    <w:rsid w:val="00DF055E"/>
    <w:rsid w:val="00E94C30"/>
    <w:rsid w:val="00F9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41"/>
  </w:style>
  <w:style w:type="paragraph" w:styleId="3">
    <w:name w:val="heading 3"/>
    <w:basedOn w:val="a"/>
    <w:link w:val="30"/>
    <w:uiPriority w:val="9"/>
    <w:qFormat/>
    <w:rsid w:val="00430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3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4303A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03A2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03A2"/>
    <w:pPr>
      <w:ind w:left="72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4303A2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303A2"/>
    <w:rPr>
      <w:rFonts w:ascii="Times New Roman" w:eastAsia="Calibri" w:hAnsi="Times New Roman" w:cs="Times New Roman"/>
      <w:sz w:val="28"/>
      <w:lang w:eastAsia="en-US"/>
    </w:rPr>
  </w:style>
  <w:style w:type="table" w:styleId="a8">
    <w:name w:val="Table Grid"/>
    <w:basedOn w:val="a1"/>
    <w:uiPriority w:val="59"/>
    <w:rsid w:val="004303A2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303A2"/>
    <w:rPr>
      <w:i/>
      <w:iCs/>
    </w:rPr>
  </w:style>
  <w:style w:type="paragraph" w:styleId="aa">
    <w:name w:val="Normal (Web)"/>
    <w:basedOn w:val="a"/>
    <w:uiPriority w:val="99"/>
    <w:unhideWhenUsed/>
    <w:rsid w:val="0043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HafizovaGF</dc:creator>
  <cp:keywords/>
  <dc:description/>
  <cp:lastModifiedBy>HafizovaGF</cp:lastModifiedBy>
  <cp:revision>11</cp:revision>
  <dcterms:created xsi:type="dcterms:W3CDTF">2024-06-27T12:08:00Z</dcterms:created>
  <dcterms:modified xsi:type="dcterms:W3CDTF">2024-07-24T10:49:00Z</dcterms:modified>
</cp:coreProperties>
</file>